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A" w:rsidRPr="0015186A" w:rsidRDefault="0015186A" w:rsidP="0015186A">
      <w:pPr>
        <w:spacing w:after="0" w:line="240" w:lineRule="auto"/>
        <w:jc w:val="center"/>
        <w:rPr>
          <w:rFonts w:ascii="Times New Roman" w:hAnsi="Times New Roman" w:cs="Times New Roman"/>
          <w:b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STUDIUL DE PIATA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reprezinta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colectarea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analizarea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informatiilor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referitoare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clienti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competitori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>.</w:t>
      </w:r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</w:t>
      </w:r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in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maniera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profesionala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constituie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baza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plecare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plan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afaceri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lansarea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nou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produs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serviciu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extinderea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restrang</w:t>
      </w:r>
      <w:r w:rsidR="0015186A">
        <w:rPr>
          <w:rFonts w:ascii="Times New Roman" w:hAnsi="Times New Roman" w:cs="Times New Roman"/>
          <w:color w:val="230725"/>
          <w:sz w:val="24"/>
          <w:szCs w:val="24"/>
        </w:rPr>
        <w:t>erea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activitatii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companiei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etc.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Primul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pas in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il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reprezinta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determinarea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obi</w:t>
      </w:r>
      <w:r w:rsidR="0015186A">
        <w:rPr>
          <w:rFonts w:ascii="Times New Roman" w:hAnsi="Times New Roman" w:cs="Times New Roman"/>
          <w:color w:val="230725"/>
          <w:sz w:val="24"/>
          <w:szCs w:val="24"/>
        </w:rPr>
        <w:t>ectivului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respectivului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>.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Acesta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fi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cel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care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determina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structura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continutul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studiului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Odata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stabilit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obiectivul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se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trece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propriu-zisa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parcurgand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urmatoarele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>
        <w:rPr>
          <w:rFonts w:ascii="Times New Roman" w:hAnsi="Times New Roman" w:cs="Times New Roman"/>
          <w:color w:val="230725"/>
          <w:sz w:val="24"/>
          <w:szCs w:val="24"/>
        </w:rPr>
        <w:t>etape</w:t>
      </w:r>
      <w:proofErr w:type="spellEnd"/>
      <w:r w:rsidR="0015186A">
        <w:rPr>
          <w:rFonts w:ascii="Times New Roman" w:hAnsi="Times New Roman" w:cs="Times New Roman"/>
          <w:color w:val="230725"/>
          <w:sz w:val="24"/>
          <w:szCs w:val="24"/>
        </w:rPr>
        <w:t>: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•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definirea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tematicii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studiului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elaborarea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intrebarilor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care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necesita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raspuns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: 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•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elaborarea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plan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colectare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informatiilor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necesare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: 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•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colectarea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efectiva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analiza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datelor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: </w:t>
      </w:r>
    </w:p>
    <w:p w:rsidR="0015186A" w:rsidRDefault="009B7E89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•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formularea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concluziilor</w:t>
      </w:r>
      <w:proofErr w:type="spellEnd"/>
    </w:p>
    <w:p w:rsidR="0015186A" w:rsidRDefault="0015186A" w:rsidP="0015186A">
      <w:pPr>
        <w:spacing w:after="0" w:line="240" w:lineRule="auto"/>
        <w:ind w:firstLine="720"/>
        <w:rPr>
          <w:rFonts w:ascii="Times New Roman" w:hAnsi="Times New Roman" w:cs="Times New Roman"/>
          <w:color w:val="230725"/>
          <w:sz w:val="24"/>
          <w:szCs w:val="24"/>
        </w:rPr>
      </w:pPr>
    </w:p>
    <w:p w:rsidR="0015186A" w:rsidRDefault="009B7E89" w:rsidP="0015186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In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ceea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ce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priveste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tipologia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exista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cinci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categorii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ale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>:</w:t>
      </w:r>
    </w:p>
    <w:p w:rsidR="0015186A" w:rsidRPr="0015186A" w:rsidRDefault="009B7E89" w:rsidP="001518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proofErr w:type="gram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studiul</w:t>
      </w:r>
      <w:proofErr w:type="spellEnd"/>
      <w:proofErr w:type="gramEnd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 xml:space="preserve"> Ad-hoc</w:t>
      </w: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singur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client.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"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croit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masura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"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conceput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raspunde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intrebarilor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specifice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unei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firme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</w:p>
    <w:p w:rsidR="0015186A" w:rsidRPr="0015186A" w:rsidRDefault="009B7E89" w:rsidP="001518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proofErr w:type="gram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studiul</w:t>
      </w:r>
      <w:proofErr w:type="spellEnd"/>
      <w:proofErr w:type="gramEnd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 xml:space="preserve"> Omnibus</w:t>
      </w: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tip cantitativ</w:t>
      </w:r>
      <w:r w:rsidRPr="0015186A">
        <w:rPr>
          <w:rFonts w:ascii="Times New Roman" w:hAnsi="Times New Roman" w:cs="Times New Roman"/>
          <w:color w:val="230725"/>
          <w:sz w:val="24"/>
          <w:szCs w:val="24"/>
          <w:vertAlign w:val="superscript"/>
        </w:rPr>
        <w:t>1</w:t>
      </w:r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o data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fixa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reprezinta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simplu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avand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putine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intrebari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adesea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chiar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complementand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alt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;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fiecare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intreprindere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pune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multe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intrebari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chestionarul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regrupeaza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ansamblul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informatiilor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date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cumparatori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</w:p>
    <w:p w:rsidR="0015186A" w:rsidRPr="0015186A" w:rsidRDefault="009B7E89" w:rsidP="001518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Barometrul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cantitativ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o data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fixa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dar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cu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chestionar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identic de la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altul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;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poate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fi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efectuat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uneia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multor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firme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preferat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in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cazul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satisfac</w:t>
      </w:r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tie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notorietate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</w:p>
    <w:p w:rsidR="0015186A" w:rsidRPr="0015186A" w:rsidRDefault="009B7E89" w:rsidP="001518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Panelul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o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investigatie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aprofundata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periodic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multe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firme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in care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interviurile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sunt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identice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la o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ancheta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la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alta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; el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reprezinta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model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cantitativ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care se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elaboreaza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baza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esantioanelor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cuprinzand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</w:t>
      </w:r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re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2000 </w:t>
      </w:r>
      <w:proofErr w:type="spellStart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10 000 de </w:t>
      </w:r>
      <w:proofErr w:type="spellStart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>persoane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</w:p>
    <w:p w:rsidR="0015186A" w:rsidRPr="0015186A" w:rsidRDefault="009B7E89" w:rsidP="001518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Testul</w:t>
      </w:r>
      <w:proofErr w:type="spellEnd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b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natura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cantitativa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realizat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contul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singur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client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se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utilizeaza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previziunea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vanzarilor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segmentelor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ale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nou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produs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; un test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poate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fi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simulat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aplicand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un model tip econometric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datelor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previziunile</w:t>
      </w:r>
      <w:proofErr w:type="spellEnd"/>
      <w:r w:rsidR="0015186A"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vanzarilor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real,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adica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observand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cumparaturile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efective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parcursul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mai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multor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saptamani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intr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-o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zona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geografica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precisa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evolutia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vanzarilor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putand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fi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estimata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extrapoland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rezultatele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obtinute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. </w:t>
      </w:r>
    </w:p>
    <w:p w:rsidR="009B7E89" w:rsidRPr="0015186A" w:rsidRDefault="009B7E89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0725"/>
          <w:sz w:val="24"/>
          <w:szCs w:val="24"/>
        </w:rPr>
      </w:pPr>
      <w:proofErr w:type="gram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Un</w:t>
      </w:r>
      <w:proofErr w:type="gram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studiu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piata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profesional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este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elaborat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in mod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uzual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catre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o firma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specialitate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insa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acesta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poate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fi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dezvoltat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cu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resurse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interne, in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functie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bugetul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disponibil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,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anvergura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proiectului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si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obiectivul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color w:val="230725"/>
          <w:sz w:val="24"/>
          <w:szCs w:val="24"/>
        </w:rPr>
        <w:t>urmarit</w:t>
      </w:r>
      <w:proofErr w:type="spellEnd"/>
      <w:r w:rsidRPr="0015186A">
        <w:rPr>
          <w:rFonts w:ascii="Times New Roman" w:hAnsi="Times New Roman" w:cs="Times New Roman"/>
          <w:color w:val="230725"/>
          <w:sz w:val="24"/>
          <w:szCs w:val="24"/>
        </w:rPr>
        <w:t>.</w:t>
      </w:r>
    </w:p>
    <w:p w:rsidR="009B7E89" w:rsidRPr="0015186A" w:rsidRDefault="009B7E89" w:rsidP="0015186A">
      <w:pPr>
        <w:spacing w:after="0" w:line="240" w:lineRule="auto"/>
        <w:rPr>
          <w:rFonts w:ascii="Times New Roman" w:hAnsi="Times New Roman" w:cs="Times New Roman"/>
          <w:color w:val="230725"/>
          <w:sz w:val="24"/>
          <w:szCs w:val="24"/>
        </w:rPr>
      </w:pPr>
      <w:r w:rsidRPr="0015186A">
        <w:rPr>
          <w:rFonts w:ascii="Times New Roman" w:hAnsi="Times New Roman" w:cs="Times New Roman"/>
          <w:color w:val="230725"/>
          <w:sz w:val="24"/>
          <w:szCs w:val="24"/>
        </w:rPr>
        <w:br w:type="page"/>
      </w:r>
    </w:p>
    <w:p w:rsidR="0015186A" w:rsidRDefault="0015186A" w:rsidP="001518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ANALIZA SWOT</w:t>
      </w:r>
    </w:p>
    <w:p w:rsidR="001537F6" w:rsidRPr="0015186A" w:rsidRDefault="009B7E89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b/>
          <w:bCs/>
          <w:sz w:val="24"/>
          <w:szCs w:val="24"/>
        </w:rPr>
        <w:t>Analiza</w:t>
      </w:r>
      <w:proofErr w:type="spellEnd"/>
      <w:r w:rsidRPr="0015186A">
        <w:rPr>
          <w:rFonts w:ascii="Times New Roman" w:hAnsi="Times New Roman" w:cs="Times New Roman"/>
          <w:b/>
          <w:bCs/>
          <w:sz w:val="24"/>
          <w:szCs w:val="24"/>
        </w:rPr>
        <w:t xml:space="preserve"> SWOT</w:t>
      </w:r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86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518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metodă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viziuni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radiografie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firmei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ideii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evaluează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influență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externi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organizații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poziția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ceilalți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r w:rsidR="0015186A">
        <w:rPr>
          <w:rFonts w:ascii="Times New Roman" w:hAnsi="Times New Roman" w:cs="Times New Roman"/>
          <w:sz w:val="24"/>
          <w:szCs w:val="24"/>
        </w:rPr>
        <w:t>competitor</w:t>
      </w:r>
      <w:r w:rsidR="001518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86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lumină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tari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relație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oportunitățile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amenințările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la un moment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 w:rsidRPr="0015186A">
        <w:rPr>
          <w:rFonts w:ascii="Times New Roman" w:hAnsi="Times New Roman" w:cs="Times New Roman"/>
          <w:sz w:val="24"/>
          <w:szCs w:val="24"/>
        </w:rPr>
        <w:t>.</w:t>
      </w:r>
    </w:p>
    <w:p w:rsidR="009B7E89" w:rsidRPr="0015186A" w:rsidRDefault="009B7E89" w:rsidP="0015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8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CDB14" wp14:editId="335D8939">
            <wp:extent cx="3619500" cy="3619500"/>
            <wp:effectExtent l="0" t="0" r="0" b="0"/>
            <wp:docPr id="1" name="Picture 1" descr="https://upload.wikimedia.org/wikipedia/commons/4/40/Analiza_SW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0/Analiza_SW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89" w:rsidRPr="009B7E89" w:rsidRDefault="009B7E89" w:rsidP="001518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ooltip="Permalink to Metoda P.E.R.T. (Program Evaluation and Review Technique)" w:history="1">
        <w:proofErr w:type="spellStart"/>
        <w:r w:rsidRPr="00151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Metoda</w:t>
        </w:r>
        <w:proofErr w:type="spellEnd"/>
        <w:r w:rsidRPr="001518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P.E.R.T. (Program Evaluation and Review Technique)</w:t>
        </w:r>
      </w:hyperlink>
      <w:r w:rsidRPr="009B7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Examinare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Tehnică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(PERT) </w:t>
      </w:r>
      <w:proofErr w:type="spellStart"/>
      <w:proofErr w:type="gramStart"/>
      <w:r w:rsidRPr="009B7E8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un model de tip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reţea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randomizarea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programarea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îndeplinire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sarcinilor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PERT se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reduce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costurile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Etape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procesul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planificare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PERT</w:t>
      </w:r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7E8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intermediare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Determinarea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etapizării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Construirea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diagramei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reţea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Estimarea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timpului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fiecărei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Determinarea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căii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critice</w:t>
      </w:r>
      <w:proofErr w:type="spellEnd"/>
      <w:r w:rsidRPr="009B7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1518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determină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adăugarea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timpilor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secvenţă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determinând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E89" w:rsidRPr="009B7E89" w:rsidRDefault="009B7E89" w:rsidP="00151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Updatarea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PERT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măsura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E89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E89">
        <w:rPr>
          <w:rFonts w:ascii="Times New Roman" w:eastAsia="Times New Roman" w:hAnsi="Times New Roman" w:cs="Times New Roman"/>
          <w:sz w:val="24"/>
          <w:szCs w:val="24"/>
        </w:rPr>
        <w:t>progresează</w:t>
      </w:r>
      <w:proofErr w:type="spellEnd"/>
      <w:r w:rsidRPr="009B7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86A" w:rsidRDefault="0015186A" w:rsidP="00151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86A" w:rsidRDefault="0015186A" w:rsidP="00151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1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Fazele</w:t>
      </w:r>
      <w:proofErr w:type="spellEnd"/>
      <w:r w:rsidRPr="00151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b/>
          <w:bCs/>
          <w:sz w:val="24"/>
          <w:szCs w:val="24"/>
        </w:rPr>
        <w:t>managementului</w:t>
      </w:r>
      <w:proofErr w:type="spellEnd"/>
      <w:r w:rsidRPr="00151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186A">
        <w:rPr>
          <w:rFonts w:ascii="Times New Roman" w:hAnsi="Times New Roman" w:cs="Times New Roman"/>
          <w:b/>
          <w:bCs/>
          <w:sz w:val="24"/>
          <w:szCs w:val="24"/>
        </w:rPr>
        <w:t>proiectelor</w:t>
      </w:r>
      <w:proofErr w:type="spellEnd"/>
    </w:p>
    <w:p w:rsidR="00000000" w:rsidRPr="00AD4015" w:rsidRDefault="00AD4015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4015">
        <w:rPr>
          <w:rFonts w:ascii="Times New Roman" w:hAnsi="Times New Roman" w:cs="Times New Roman"/>
          <w:b/>
          <w:bCs/>
          <w:sz w:val="28"/>
          <w:szCs w:val="28"/>
          <w:lang w:val="vi-VN"/>
        </w:rPr>
        <w:t>Managementul proiectelor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> constă în aplicarea cunoștințelor, capabilităților, instrumentelor și tehnicilor specifice pentru activitățile unui proiect, care au obiective, scopuri și cerințe definite, referitoar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>e la timp, costuri, calitate și parametri de performanță, activități considerate ca importante și adecvate pentru finanțare. Timpul, costul,calitatea și performanțele sunt constrângeri pentru proiect.</w:t>
      </w:r>
    </w:p>
    <w:p w:rsidR="00000000" w:rsidRPr="00AD4015" w:rsidRDefault="00AD4015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proofErr w:type="spellStart"/>
      <w:r w:rsidRPr="00AD4015">
        <w:rPr>
          <w:rFonts w:ascii="Times New Roman" w:hAnsi="Times New Roman" w:cs="Times New Roman"/>
          <w:b/>
          <w:bCs/>
          <w:sz w:val="28"/>
          <w:szCs w:val="28"/>
        </w:rPr>
        <w:t>roiectul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efort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crea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resurse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limitate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produs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u</w:t>
      </w:r>
      <w:r w:rsidRPr="00AD401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unic</w:t>
      </w:r>
      <w:proofErr w:type="spellEnd"/>
    </w:p>
    <w:p w:rsidR="00000000" w:rsidRPr="00AD4015" w:rsidRDefault="00AD4015" w:rsidP="0015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ro-RO"/>
        </w:rPr>
        <w:t>S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4015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reunite “o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interdependente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plan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atinge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anumit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obiectiv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delimitată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act</w:t>
      </w:r>
      <w:r w:rsidRPr="00AD4015">
        <w:rPr>
          <w:rFonts w:ascii="Times New Roman" w:hAnsi="Times New Roman" w:cs="Times New Roman"/>
          <w:sz w:val="28"/>
          <w:szCs w:val="28"/>
        </w:rPr>
        <w:t>ivităţile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încetează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015">
        <w:rPr>
          <w:rFonts w:ascii="Times New Roman" w:hAnsi="Times New Roman" w:cs="Times New Roman"/>
          <w:sz w:val="28"/>
          <w:szCs w:val="28"/>
        </w:rPr>
        <w:t>atin</w:t>
      </w:r>
      <w:proofErr w:type="spellEnd"/>
      <w:r w:rsidRPr="00AD4015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AD4015">
        <w:rPr>
          <w:rFonts w:ascii="Times New Roman" w:hAnsi="Times New Roman" w:cs="Times New Roman"/>
          <w:sz w:val="28"/>
          <w:szCs w:val="28"/>
        </w:rPr>
        <w:t>”</w:t>
      </w:r>
    </w:p>
    <w:p w:rsidR="00000000" w:rsidRPr="00AD4015" w:rsidRDefault="00AD4015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Managementul proiectului </w:t>
      </w:r>
      <w:r w:rsidRPr="00AD4015">
        <w:rPr>
          <w:rFonts w:ascii="Times New Roman" w:hAnsi="Times New Roman" w:cs="Times New Roman"/>
          <w:sz w:val="28"/>
          <w:szCs w:val="28"/>
          <w:lang w:val="ro-RO"/>
        </w:rPr>
        <w:t>include planificarea, organizarea, monitorizarea, controlarea, raportarea și întreprinderea acțiunilor corective nece</w:t>
      </w:r>
      <w:r w:rsidRPr="00AD4015">
        <w:rPr>
          <w:rFonts w:ascii="Times New Roman" w:hAnsi="Times New Roman" w:cs="Times New Roman"/>
          <w:sz w:val="28"/>
          <w:szCs w:val="28"/>
          <w:lang w:val="ro-RO"/>
        </w:rPr>
        <w:t>sare tuturor proceselor proiectului, de care este nevoie pentru realizarea obiectivelor proiectului, în mod continuu</w:t>
      </w:r>
    </w:p>
    <w:p w:rsidR="00000000" w:rsidRPr="00AD4015" w:rsidRDefault="00AD4015" w:rsidP="0015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b/>
          <w:bCs/>
          <w:sz w:val="28"/>
          <w:szCs w:val="28"/>
          <w:lang w:val="vi-VN"/>
        </w:rPr>
        <w:t>Managementul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 xml:space="preserve"> oricărui </w:t>
      </w:r>
      <w:r w:rsidRPr="00AD4015">
        <w:rPr>
          <w:rFonts w:ascii="Times New Roman" w:hAnsi="Times New Roman" w:cs="Times New Roman"/>
          <w:b/>
          <w:bCs/>
          <w:sz w:val="28"/>
          <w:szCs w:val="28"/>
          <w:lang w:val="vi-VN"/>
        </w:rPr>
        <w:t>proiect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 xml:space="preserve"> include un set de principii, practici si tehnici folosite pentru a conduce echipa 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>de lucru a proiectului si a controla termenele, costurile si riscurile in scopul producerii rezultatului dorit</w:t>
      </w:r>
    </w:p>
    <w:p w:rsidR="0015186A" w:rsidRPr="00AD4015" w:rsidRDefault="0015186A" w:rsidP="00151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5186A" w:rsidRPr="00AD4015" w:rsidRDefault="0015186A" w:rsidP="00151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 xml:space="preserve">În abordarea tradițională, pe faze, succesiunea </w:t>
      </w:r>
      <w:r w:rsidRPr="00AD4015">
        <w:rPr>
          <w:rFonts w:ascii="Times New Roman" w:hAnsi="Times New Roman" w:cs="Times New Roman"/>
          <w:b/>
          <w:sz w:val="28"/>
          <w:szCs w:val="28"/>
          <w:lang w:val="vi-VN"/>
        </w:rPr>
        <w:t>fazelor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 xml:space="preserve"> de realizare a managementului</w:t>
      </w:r>
      <w:r w:rsidRPr="00AD4015">
        <w:rPr>
          <w:rFonts w:ascii="Times New Roman" w:hAnsi="Times New Roman" w:cs="Times New Roman"/>
          <w:sz w:val="28"/>
          <w:szCs w:val="28"/>
        </w:rPr>
        <w:t xml:space="preserve"> 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>proiectelor este următoarea:</w:t>
      </w:r>
    </w:p>
    <w:p w:rsidR="00000000" w:rsidRPr="00AD4015" w:rsidRDefault="00AD4015" w:rsidP="001518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>inițierea proiectului;</w:t>
      </w:r>
    </w:p>
    <w:p w:rsidR="00000000" w:rsidRPr="00AD4015" w:rsidRDefault="00AD4015" w:rsidP="001518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>planificarea sau dezvoltarea proiectului;</w:t>
      </w:r>
    </w:p>
    <w:p w:rsidR="00000000" w:rsidRPr="00AD4015" w:rsidRDefault="00AD4015" w:rsidP="001518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>execuția proiectului sau</w:t>
      </w:r>
      <w:r w:rsidRPr="00AD4015">
        <w:rPr>
          <w:rFonts w:ascii="Times New Roman" w:hAnsi="Times New Roman" w:cs="Times New Roman"/>
          <w:sz w:val="28"/>
          <w:szCs w:val="28"/>
          <w:lang w:val="vi-VN"/>
        </w:rPr>
        <w:t xml:space="preserve"> faza de producție;</w:t>
      </w:r>
    </w:p>
    <w:p w:rsidR="0015186A" w:rsidRPr="00AD4015" w:rsidRDefault="00AD4015" w:rsidP="001518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>monitorizarea și controlul;</w:t>
      </w:r>
    </w:p>
    <w:p w:rsidR="009B7E89" w:rsidRPr="00AD4015" w:rsidRDefault="0015186A" w:rsidP="0015186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015">
        <w:rPr>
          <w:rFonts w:ascii="Times New Roman" w:hAnsi="Times New Roman" w:cs="Times New Roman"/>
          <w:sz w:val="28"/>
          <w:szCs w:val="28"/>
          <w:lang w:val="vi-VN"/>
        </w:rPr>
        <w:t>finalizarea (închiderea) proiectului</w:t>
      </w:r>
    </w:p>
    <w:bookmarkEnd w:id="0"/>
    <w:p w:rsidR="00FC7169" w:rsidRDefault="00FC716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FC7169" w:rsidRDefault="00FC7169" w:rsidP="00FC7169">
      <w:pPr>
        <w:spacing w:after="0" w:line="240" w:lineRule="auto"/>
        <w:rPr>
          <w:noProof/>
        </w:rPr>
      </w:pPr>
    </w:p>
    <w:p w:rsidR="00FC7169" w:rsidRDefault="00FC7169" w:rsidP="00FC7169">
      <w:pPr>
        <w:spacing w:after="0" w:line="240" w:lineRule="auto"/>
        <w:rPr>
          <w:noProof/>
        </w:rPr>
      </w:pPr>
    </w:p>
    <w:p w:rsidR="00FC7169" w:rsidRDefault="00FC7169" w:rsidP="00FC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E721D4" wp14:editId="7841AE9D">
            <wp:extent cx="6054373" cy="7001301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200" t="16432" r="14709" b="20842"/>
                    <a:stretch/>
                  </pic:blipFill>
                  <pic:spPr bwMode="auto">
                    <a:xfrm>
                      <a:off x="0" y="0"/>
                      <a:ext cx="6060328" cy="700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169" w:rsidRDefault="00FC7169" w:rsidP="00FC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69" w:rsidRDefault="00FC7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169" w:rsidRPr="00FC7169" w:rsidRDefault="00FC7169" w:rsidP="00FC7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69">
        <w:rPr>
          <w:rFonts w:ascii="Times New Roman" w:hAnsi="Times New Roman" w:cs="Times New Roman"/>
          <w:b/>
          <w:sz w:val="24"/>
          <w:szCs w:val="24"/>
        </w:rPr>
        <w:lastRenderedPageBreak/>
        <w:t>MANAGEMENTUL RISCURILOR</w:t>
      </w:r>
    </w:p>
    <w:p w:rsidR="00FC7169" w:rsidRDefault="00FC7169" w:rsidP="00FC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600EA5" wp14:editId="3C034B5C">
            <wp:extent cx="6564573" cy="668740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368" t="43677" r="28275" b="9196"/>
                    <a:stretch/>
                  </pic:blipFill>
                  <pic:spPr bwMode="auto">
                    <a:xfrm>
                      <a:off x="0" y="0"/>
                      <a:ext cx="6583893" cy="6707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015" w:rsidRPr="0015186A" w:rsidRDefault="00AD4015" w:rsidP="00FC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A1E837" wp14:editId="32FB723C">
            <wp:extent cx="6387152" cy="42571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16" t="35345" r="9885" b="12069"/>
                    <a:stretch/>
                  </pic:blipFill>
                  <pic:spPr bwMode="auto">
                    <a:xfrm>
                      <a:off x="0" y="0"/>
                      <a:ext cx="6395892" cy="426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015" w:rsidRPr="0015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EC5"/>
    <w:multiLevelType w:val="hybridMultilevel"/>
    <w:tmpl w:val="98E40B9C"/>
    <w:lvl w:ilvl="0" w:tplc="D2DA7F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CA52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7A58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86E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6E7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68DB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BC2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3659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EA5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AB3A45"/>
    <w:multiLevelType w:val="hybridMultilevel"/>
    <w:tmpl w:val="2BF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3ED9"/>
    <w:multiLevelType w:val="hybridMultilevel"/>
    <w:tmpl w:val="9DFE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4CA"/>
    <w:multiLevelType w:val="hybridMultilevel"/>
    <w:tmpl w:val="BA7A9142"/>
    <w:lvl w:ilvl="0" w:tplc="2C6ED9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FEC5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C885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0F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FE0E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BE1E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621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20C9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F250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9"/>
    <w:rsid w:val="0015186A"/>
    <w:rsid w:val="001537F6"/>
    <w:rsid w:val="009B7E89"/>
    <w:rsid w:val="00AD4015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7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7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6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-studia.ro/articole/metoda-pe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CCCCCC</dc:creator>
  <cp:lastModifiedBy>CCCCCC</cp:lastModifiedBy>
  <cp:revision>3</cp:revision>
  <dcterms:created xsi:type="dcterms:W3CDTF">2016-01-20T11:34:00Z</dcterms:created>
  <dcterms:modified xsi:type="dcterms:W3CDTF">2016-01-20T11:56:00Z</dcterms:modified>
</cp:coreProperties>
</file>